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BA" w:rsidRPr="003636BA" w:rsidRDefault="003636BA" w:rsidP="0036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t>Area of Specialty:</w:t>
      </w:r>
    </w:p>
    <w:p w:rsidR="003636BA" w:rsidRPr="003636BA" w:rsidRDefault="003636BA" w:rsidP="0036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b/>
          <w:bCs/>
          <w:sz w:val="24"/>
          <w:szCs w:val="24"/>
        </w:rPr>
        <w:t>Tissue engineering and in particular cell-surface interactions</w:t>
      </w:r>
      <w:r w:rsidRPr="003636BA">
        <w:rPr>
          <w:rFonts w:ascii="Times New Roman" w:eastAsia="Times New Roman" w:hAnsi="Times New Roman" w:cs="Times New Roman"/>
          <w:sz w:val="24"/>
          <w:szCs w:val="24"/>
        </w:rPr>
        <w:t xml:space="preserve"> with applications in the development of cell-based biosensors and/or assays for high throughput screening (HTS). </w:t>
      </w:r>
      <w:r w:rsidRPr="003636BA">
        <w:rPr>
          <w:rFonts w:ascii="Times New Roman" w:eastAsia="Times New Roman" w:hAnsi="Times New Roman" w:cs="Times New Roman"/>
          <w:b/>
          <w:bCs/>
          <w:sz w:val="24"/>
          <w:szCs w:val="24"/>
        </w:rPr>
        <w:t>Renewable energy utilization</w:t>
      </w:r>
      <w:r w:rsidRPr="003636BA">
        <w:rPr>
          <w:rFonts w:ascii="Times New Roman" w:eastAsia="Times New Roman" w:hAnsi="Times New Roman" w:cs="Times New Roman"/>
          <w:sz w:val="24"/>
          <w:szCs w:val="24"/>
        </w:rPr>
        <w:t xml:space="preserve"> at the bottom of the economic pyramid with emphasis on biogas-powered cooling. </w:t>
      </w:r>
      <w:r w:rsidRPr="003636BA">
        <w:rPr>
          <w:rFonts w:ascii="Times New Roman" w:eastAsia="Times New Roman" w:hAnsi="Times New Roman" w:cs="Times New Roman"/>
          <w:b/>
          <w:bCs/>
          <w:sz w:val="24"/>
          <w:szCs w:val="24"/>
        </w:rPr>
        <w:t>Global service learning</w:t>
      </w:r>
      <w:r w:rsidRPr="003636BA">
        <w:rPr>
          <w:rFonts w:ascii="Times New Roman" w:eastAsia="Times New Roman" w:hAnsi="Times New Roman" w:cs="Times New Roman"/>
          <w:sz w:val="24"/>
          <w:szCs w:val="24"/>
        </w:rPr>
        <w:t xml:space="preserve"> with emphasis on long term effects, well after graduation.</w:t>
      </w:r>
    </w:p>
    <w:p w:rsidR="003636BA" w:rsidRPr="003636BA" w:rsidRDefault="003636BA" w:rsidP="0036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t>Research:</w:t>
      </w:r>
    </w:p>
    <w:p w:rsidR="003636BA" w:rsidRPr="003636BA" w:rsidRDefault="003636BA" w:rsidP="0036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t>Cell-surface interaction research is driven by the hypothesis that there exists ubiquitous factors (biomarkers) that are necessary and sufficient and when expressed, qualify cultures as "three-dimensional" or physiologically relevant in a complex way. Related investigations include developing platforms consistent with current HTS instrumentation, and demonstrating that use of 3D cell-based biosensors in drug discovery reduces development compounds attrition.</w:t>
      </w:r>
    </w:p>
    <w:p w:rsidR="003636BA" w:rsidRPr="003636BA" w:rsidRDefault="003636BA" w:rsidP="0036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t>Service:</w:t>
      </w:r>
    </w:p>
    <w:p w:rsidR="003636BA" w:rsidRPr="003636BA" w:rsidRDefault="003636BA" w:rsidP="0036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t>Through ENGR 4920, a team of undergraduates work on an engineering problem in collaboration with their counterparts oversease, via e-mail and skype. They travel during spring breat to gain first hand knowledge. Promising solutions are implemented oversease in summer by a new team. The common theme of current and completed projects is renewable enrgy utilization. Graduates are participating in a longitudinal study of service-learning. See smallholderfortunes link below.</w:t>
      </w:r>
    </w:p>
    <w:p w:rsidR="003636BA" w:rsidRPr="003636BA" w:rsidRDefault="003636BA" w:rsidP="0036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t>Instruction:</w:t>
      </w:r>
    </w:p>
    <w:p w:rsidR="003636BA" w:rsidRPr="003636BA" w:rsidRDefault="003636BA" w:rsidP="0036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t>ENGR 8XXX: Three-dimensional cell-based biosensors, offered in fall of odd years.</w:t>
      </w:r>
    </w:p>
    <w:p w:rsidR="003636BA" w:rsidRPr="003636BA" w:rsidRDefault="003636BA" w:rsidP="0036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t>ENGR 8950: Graduate seminar, offeref in fall.</w:t>
      </w:r>
    </w:p>
    <w:p w:rsidR="003636BA" w:rsidRPr="003636BA" w:rsidRDefault="003636BA" w:rsidP="0036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t xml:space="preserve">ENGR 4920: Engineering design project (intenational section, with service-learning component), offered in spring. </w:t>
      </w:r>
    </w:p>
    <w:p w:rsidR="003636BA" w:rsidRPr="003636BA" w:rsidRDefault="003636BA" w:rsidP="0036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t>ENGR 3720: Engineering physiology, offered in fall.</w:t>
      </w:r>
    </w:p>
    <w:p w:rsidR="003636BA" w:rsidRPr="003636BA" w:rsidRDefault="003636BA" w:rsidP="0036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t>Selected Publications:</w:t>
      </w:r>
    </w:p>
    <w:p w:rsidR="003636BA" w:rsidRPr="003636BA" w:rsidRDefault="003636BA" w:rsidP="0036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t>Cheng, K.; Lai, Yinzhi; Kisaalita, W.S. 2008. Three-dimensional polymer scaffolds for high throughput cell-based assya systems. Biomaterials 29:2802-2812.</w:t>
      </w:r>
    </w:p>
    <w:p w:rsidR="003636BA" w:rsidRPr="003636BA" w:rsidRDefault="003636BA" w:rsidP="0036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t>Wu, Z.-Z.; Zhao, Y.-P.; Kisaalita, W.S. 2006. A packed cytodex microbead array for three-dimensional cell-based biosensing. Biosensors &amp; Bioelectronics 22:685-693.</w:t>
      </w:r>
    </w:p>
    <w:p w:rsidR="003636BA" w:rsidRPr="003636BA" w:rsidRDefault="003636BA" w:rsidP="0036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lastRenderedPageBreak/>
        <w:t>DiRamio, J.A.; Kisaalita, W.S.; Majetich, G.F.; Shimkus, J.M. 2005. Poly(ethylene glycol) methacrylated/dimethacrylate hydrogels for controlled relaase of hydrophobic drugs. Biotechnology Progress 21:1281-1288.</w:t>
      </w:r>
    </w:p>
    <w:p w:rsidR="003636BA" w:rsidRPr="003636BA" w:rsidRDefault="003636BA" w:rsidP="0036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t xml:space="preserve">Mao, C.; Kisaalita, W.S. 2004. Characterization of 3D collagen hydrogels for functional cell-based biosensing. Biosensots &amp; Bioelectronics 19:1075-1088. </w:t>
      </w:r>
    </w:p>
    <w:p w:rsidR="003636BA" w:rsidRPr="003636BA" w:rsidRDefault="003636BA" w:rsidP="0036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t>Kisaalita, W.S.; Tippie, A.; Faircloth, W.; Franklin, J.; Boyer, B. 2006. Comparative feasibility analysis of alternative renewable energy sources for small milk cooling plants of southwestern Uganda. Agricultural Mechanization in Asia, Africa, and Latin America 37(4):69-75.</w:t>
      </w:r>
    </w:p>
    <w:p w:rsidR="003636BA" w:rsidRPr="003636BA" w:rsidRDefault="003636BA" w:rsidP="0036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t>Contracts and Grants:</w:t>
      </w:r>
    </w:p>
    <w:p w:rsidR="003636BA" w:rsidRPr="003636BA" w:rsidRDefault="003636BA" w:rsidP="00363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t>UNDER COSTRUCTION</w:t>
      </w:r>
    </w:p>
    <w:p w:rsidR="003636BA" w:rsidRPr="003636BA" w:rsidRDefault="003636BA" w:rsidP="00363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36BA">
        <w:rPr>
          <w:rFonts w:ascii="Times New Roman" w:eastAsia="Times New Roman" w:hAnsi="Times New Roman" w:cs="Times New Roman"/>
          <w:sz w:val="24"/>
          <w:szCs w:val="24"/>
        </w:rPr>
        <w:t>Additional Links:</w:t>
      </w:r>
    </w:p>
    <w:p w:rsidR="003636BA" w:rsidRPr="003636BA" w:rsidRDefault="003636BA" w:rsidP="003636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3636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Smallholder Fortunes</w:t>
        </w:r>
      </w:hyperlink>
    </w:p>
    <w:p w:rsidR="000C3AB6" w:rsidRDefault="000C3AB6">
      <w:bookmarkStart w:id="0" w:name="_GoBack"/>
      <w:bookmarkEnd w:id="0"/>
    </w:p>
    <w:sectPr w:rsidR="000C3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123C8"/>
    <w:multiLevelType w:val="multilevel"/>
    <w:tmpl w:val="B846C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BA"/>
    <w:rsid w:val="000C3AB6"/>
    <w:rsid w:val="0036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6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3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6B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3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0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14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89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7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1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45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llholderfortunes.ug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1</cp:revision>
  <dcterms:created xsi:type="dcterms:W3CDTF">2012-06-29T19:28:00Z</dcterms:created>
  <dcterms:modified xsi:type="dcterms:W3CDTF">2012-06-29T19:28:00Z</dcterms:modified>
</cp:coreProperties>
</file>